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26AF6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26AF6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26AF6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26AF6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26AF6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26AF6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26AF6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26AF6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26AF6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26AF6" w:rsidRDefault="00A31659" w:rsidP="001D6574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26AF6">
              <w:rPr>
                <w:rFonts w:eastAsiaTheme="minorHAnsi"/>
                <w:color w:val="000099"/>
                <w:lang w:eastAsia="en-US"/>
              </w:rPr>
              <w:t>Приказ от</w:t>
            </w:r>
            <w:r w:rsidR="00C7383D" w:rsidRPr="00026AF6">
              <w:rPr>
                <w:rFonts w:eastAsiaTheme="minorHAnsi"/>
                <w:color w:val="000099"/>
                <w:lang w:eastAsia="en-US"/>
              </w:rPr>
              <w:t xml:space="preserve"> 08.09.2022</w:t>
            </w:r>
            <w:r w:rsidRPr="00026AF6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C7383D" w:rsidRPr="00026AF6">
              <w:rPr>
                <w:rFonts w:eastAsiaTheme="minorHAnsi"/>
                <w:color w:val="000099"/>
                <w:lang w:eastAsia="en-US"/>
              </w:rPr>
              <w:t>195</w:t>
            </w:r>
          </w:p>
          <w:p w:rsidR="001D6574" w:rsidRPr="000F3C13" w:rsidRDefault="001D6574" w:rsidP="001D6574">
            <w:pPr>
              <w:ind w:left="477" w:firstLine="1187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26AF6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83D" w:rsidRPr="00026AF6" w:rsidRDefault="00C7383D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C7383D" w:rsidRPr="00026AF6" w:rsidRDefault="00C7383D" w:rsidP="00C7383D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C7383D" w:rsidRPr="00026AF6" w:rsidRDefault="00C7383D" w:rsidP="00C7383D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1D6574" w:rsidRPr="00026AF6" w:rsidRDefault="00C7383D" w:rsidP="00026AF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для зарегистрированных лиц Акционерного общества </w:t>
            </w:r>
            <w:r w:rsidR="001D6574" w:rsidRPr="00026AF6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proofErr w:type="spellStart"/>
            <w:r w:rsidR="001D6574" w:rsidRPr="00026AF6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Сибстройсервис</w:t>
            </w:r>
            <w:proofErr w:type="spellEnd"/>
            <w:r w:rsidR="001D6574" w:rsidRPr="00026AF6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26AF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AF6" w:rsidRPr="00026AF6" w:rsidRDefault="00026AF6" w:rsidP="00C7383D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26AF6" w:rsidRDefault="00026AF6" w:rsidP="00C7383D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26AF6">
              <w:rPr>
                <w:rFonts w:eastAsia="Calibri"/>
                <w:color w:val="000099"/>
                <w:lang w:eastAsia="en-US"/>
              </w:rPr>
              <w:t>Срок действия с 13  сентября  2022 года по 31 декабря  2022 года</w:t>
            </w:r>
          </w:p>
        </w:tc>
      </w:tr>
    </w:tbl>
    <w:p w:rsidR="00A31659" w:rsidRPr="00026AF6" w:rsidRDefault="00A31659" w:rsidP="000A11AE">
      <w:pPr>
        <w:jc w:val="right"/>
        <w:outlineLvl w:val="0"/>
        <w:rPr>
          <w:b/>
          <w:color w:val="000099"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26AF6" w:rsidTr="00826BF2">
        <w:trPr>
          <w:trHeight w:val="355"/>
        </w:trPr>
        <w:tc>
          <w:tcPr>
            <w:tcW w:w="720" w:type="dxa"/>
            <w:vAlign w:val="center"/>
          </w:tcPr>
          <w:p w:rsidR="00B13CD3" w:rsidRPr="00026AF6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26AF6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026AF6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26AF6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26AF6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26AF6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26AF6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26AF6" w:rsidTr="00826BF2">
        <w:trPr>
          <w:trHeight w:val="420"/>
        </w:trPr>
        <w:tc>
          <w:tcPr>
            <w:tcW w:w="720" w:type="dxa"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26AF6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26AF6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26AF6" w:rsidTr="00826BF2">
        <w:trPr>
          <w:trHeight w:val="398"/>
        </w:trPr>
        <w:tc>
          <w:tcPr>
            <w:tcW w:w="720" w:type="dxa"/>
            <w:vAlign w:val="center"/>
          </w:tcPr>
          <w:p w:rsidR="00B13CD3" w:rsidRPr="00026AF6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26AF6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26AF6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26AF6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  <w:proofErr w:type="gramEnd"/>
          </w:p>
        </w:tc>
      </w:tr>
      <w:tr w:rsidR="00B13CD3" w:rsidRPr="00026AF6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26AF6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26AF6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26AF6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26AF6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26AF6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26AF6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26AF6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26AF6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26AF6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26AF6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26AF6" w:rsidTr="00826BF2">
        <w:trPr>
          <w:trHeight w:val="794"/>
        </w:trPr>
        <w:tc>
          <w:tcPr>
            <w:tcW w:w="720" w:type="dxa"/>
            <w:vAlign w:val="center"/>
          </w:tcPr>
          <w:p w:rsidR="00B13CD3" w:rsidRPr="00026AF6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26AF6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26AF6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26AF6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26AF6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026AF6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D6574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1D6574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1D65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1D65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13CD3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1 000 000</w:t>
            </w:r>
          </w:p>
        </w:tc>
      </w:tr>
      <w:tr w:rsidR="00B13CD3" w:rsidRPr="00026AF6" w:rsidTr="00826BF2">
        <w:tc>
          <w:tcPr>
            <w:tcW w:w="720" w:type="dxa"/>
            <w:vMerge/>
          </w:tcPr>
          <w:p w:rsidR="00B13CD3" w:rsidRPr="00026AF6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26AF6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026AF6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1 200 000</w:t>
            </w:r>
          </w:p>
        </w:tc>
      </w:tr>
      <w:tr w:rsidR="00B13CD3" w:rsidRPr="00026AF6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26AF6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26AF6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26AF6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26AF6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26AF6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26AF6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26AF6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п.1</w:t>
            </w:r>
            <w:r w:rsidR="00A31659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26AF6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26AF6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26AF6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26AF6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26AF6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26AF6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26AF6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26AF6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26AF6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26AF6"/>
    <w:rsid w:val="000732A1"/>
    <w:rsid w:val="00082182"/>
    <w:rsid w:val="00084EAE"/>
    <w:rsid w:val="000A0A7A"/>
    <w:rsid w:val="000A11AE"/>
    <w:rsid w:val="000B4DC8"/>
    <w:rsid w:val="000C19BC"/>
    <w:rsid w:val="00114744"/>
    <w:rsid w:val="00142E47"/>
    <w:rsid w:val="00144D57"/>
    <w:rsid w:val="001513B3"/>
    <w:rsid w:val="00153370"/>
    <w:rsid w:val="001538A4"/>
    <w:rsid w:val="00180C90"/>
    <w:rsid w:val="00186B2C"/>
    <w:rsid w:val="00194844"/>
    <w:rsid w:val="001D657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33D46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826BF2"/>
    <w:rsid w:val="0089195D"/>
    <w:rsid w:val="008B6F82"/>
    <w:rsid w:val="008D3FF3"/>
    <w:rsid w:val="008F550A"/>
    <w:rsid w:val="00982890"/>
    <w:rsid w:val="009A075B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BF2453"/>
    <w:rsid w:val="00C671EC"/>
    <w:rsid w:val="00C7383D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83454"/>
    <w:rsid w:val="00EA1CB4"/>
    <w:rsid w:val="00EE2F45"/>
    <w:rsid w:val="00EE3057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3B0B-2CF8-4541-AED4-D149658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cp:lastPrinted>2022-09-08T12:02:00Z</cp:lastPrinted>
  <dcterms:created xsi:type="dcterms:W3CDTF">2022-09-08T12:22:00Z</dcterms:created>
  <dcterms:modified xsi:type="dcterms:W3CDTF">2022-09-08T12:22:00Z</dcterms:modified>
</cp:coreProperties>
</file>